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8547CC" w:rsidRDefault="007D4F8E">
      <w:pPr>
        <w:jc w:val="center"/>
        <w:rPr>
          <w:b/>
          <w:sz w:val="24"/>
          <w:szCs w:val="24"/>
        </w:rPr>
      </w:pPr>
      <w:r w:rsidRPr="008547CC">
        <w:rPr>
          <w:b/>
          <w:sz w:val="24"/>
          <w:szCs w:val="24"/>
        </w:rPr>
        <w:t>Извещение</w:t>
      </w:r>
    </w:p>
    <w:p w:rsidR="00022901" w:rsidRPr="00022901" w:rsidRDefault="00022901" w:rsidP="00022901">
      <w:pPr>
        <w:jc w:val="center"/>
        <w:rPr>
          <w:b/>
          <w:bCs/>
          <w:sz w:val="24"/>
          <w:szCs w:val="24"/>
        </w:rPr>
      </w:pPr>
      <w:r w:rsidRPr="00022901">
        <w:rPr>
          <w:b/>
          <w:bCs/>
          <w:sz w:val="24"/>
          <w:szCs w:val="24"/>
        </w:rPr>
        <w:t xml:space="preserve">о проведении открытого конкурса на право заключения договора </w:t>
      </w:r>
    </w:p>
    <w:p w:rsidR="003D37AC" w:rsidRPr="008547CC" w:rsidRDefault="00022901" w:rsidP="00022901">
      <w:pPr>
        <w:jc w:val="center"/>
        <w:rPr>
          <w:b/>
          <w:bCs/>
          <w:sz w:val="24"/>
          <w:szCs w:val="24"/>
        </w:rPr>
      </w:pPr>
      <w:r w:rsidRPr="00022901">
        <w:rPr>
          <w:b/>
          <w:bCs/>
          <w:sz w:val="24"/>
          <w:szCs w:val="24"/>
        </w:rPr>
        <w:t>на оказание услуг по технической поддержке и сопровождению ИТ инфраструктуры электронных сервисов в сфере ПОД/ФТ</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rsidR="00B95469" w:rsidRPr="008547CC" w:rsidRDefault="007D4F8E">
            <w:pPr>
              <w:ind w:right="-108"/>
              <w:rPr>
                <w:sz w:val="24"/>
                <w:szCs w:val="24"/>
              </w:rPr>
            </w:pPr>
            <w:r w:rsidRPr="008547CC">
              <w:rPr>
                <w:sz w:val="24"/>
                <w:szCs w:val="24"/>
              </w:rPr>
              <w:t>Наименование</w:t>
            </w:r>
          </w:p>
        </w:tc>
        <w:tc>
          <w:tcPr>
            <w:tcW w:w="5919" w:type="dxa"/>
          </w:tcPr>
          <w:p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1.2.</w:t>
            </w:r>
          </w:p>
        </w:tc>
        <w:tc>
          <w:tcPr>
            <w:tcW w:w="3686" w:type="dxa"/>
          </w:tcPr>
          <w:p w:rsidR="00B95469" w:rsidRPr="008547CC" w:rsidRDefault="007D4F8E">
            <w:pPr>
              <w:ind w:right="88"/>
              <w:rPr>
                <w:sz w:val="24"/>
                <w:szCs w:val="24"/>
              </w:rPr>
            </w:pPr>
            <w:r w:rsidRPr="008547CC">
              <w:rPr>
                <w:sz w:val="24"/>
                <w:szCs w:val="24"/>
              </w:rPr>
              <w:t>Место нахождения</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1.3.</w:t>
            </w:r>
          </w:p>
        </w:tc>
        <w:tc>
          <w:tcPr>
            <w:tcW w:w="3686" w:type="dxa"/>
          </w:tcPr>
          <w:p w:rsidR="00B95469" w:rsidRPr="008547CC" w:rsidRDefault="007D4F8E">
            <w:pPr>
              <w:ind w:right="88"/>
              <w:rPr>
                <w:sz w:val="24"/>
                <w:szCs w:val="24"/>
              </w:rPr>
            </w:pPr>
            <w:r w:rsidRPr="008547CC">
              <w:rPr>
                <w:sz w:val="24"/>
                <w:szCs w:val="24"/>
              </w:rPr>
              <w:t>Почтовый адрес</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1.4.</w:t>
            </w:r>
          </w:p>
        </w:tc>
        <w:tc>
          <w:tcPr>
            <w:tcW w:w="3686" w:type="dxa"/>
          </w:tcPr>
          <w:p w:rsidR="00B95469" w:rsidRPr="008547CC" w:rsidRDefault="007D4F8E">
            <w:pPr>
              <w:ind w:right="88"/>
              <w:rPr>
                <w:sz w:val="24"/>
                <w:szCs w:val="24"/>
              </w:rPr>
            </w:pPr>
            <w:r w:rsidRPr="008547CC">
              <w:rPr>
                <w:sz w:val="24"/>
                <w:szCs w:val="24"/>
              </w:rPr>
              <w:t>Адрес электронной почты</w:t>
            </w:r>
          </w:p>
        </w:tc>
        <w:tc>
          <w:tcPr>
            <w:tcW w:w="5919" w:type="dxa"/>
          </w:tcPr>
          <w:p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rsidR="00BE5062" w:rsidRPr="008547CC" w:rsidRDefault="00BE5062" w:rsidP="00B641BB">
            <w:pPr>
              <w:rPr>
                <w:sz w:val="24"/>
                <w:szCs w:val="24"/>
              </w:rPr>
            </w:pPr>
          </w:p>
        </w:tc>
      </w:tr>
      <w:tr w:rsidR="004260AB" w:rsidRPr="008547CC">
        <w:tc>
          <w:tcPr>
            <w:tcW w:w="709" w:type="dxa"/>
          </w:tcPr>
          <w:p w:rsidR="00B95469" w:rsidRPr="008547CC" w:rsidRDefault="007D4F8E">
            <w:pPr>
              <w:jc w:val="center"/>
              <w:rPr>
                <w:noProof/>
                <w:sz w:val="24"/>
                <w:szCs w:val="24"/>
              </w:rPr>
            </w:pPr>
            <w:r w:rsidRPr="008547CC">
              <w:rPr>
                <w:noProof/>
                <w:sz w:val="24"/>
                <w:szCs w:val="24"/>
              </w:rPr>
              <w:t>1.5.</w:t>
            </w:r>
          </w:p>
        </w:tc>
        <w:tc>
          <w:tcPr>
            <w:tcW w:w="3686" w:type="dxa"/>
          </w:tcPr>
          <w:p w:rsidR="00B95469" w:rsidRPr="008547CC" w:rsidRDefault="007D4F8E">
            <w:pPr>
              <w:ind w:right="88"/>
              <w:rPr>
                <w:sz w:val="24"/>
                <w:szCs w:val="24"/>
              </w:rPr>
            </w:pPr>
            <w:r w:rsidRPr="008547CC">
              <w:rPr>
                <w:sz w:val="24"/>
                <w:szCs w:val="24"/>
              </w:rPr>
              <w:t>Номер контактного телефона</w:t>
            </w:r>
          </w:p>
        </w:tc>
        <w:tc>
          <w:tcPr>
            <w:tcW w:w="5919" w:type="dxa"/>
          </w:tcPr>
          <w:p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tc>
          <w:tcPr>
            <w:tcW w:w="709" w:type="dxa"/>
            <w:tcBorders>
              <w:bottom w:val="single" w:sz="4" w:space="0" w:color="000000"/>
            </w:tcBorders>
          </w:tcPr>
          <w:p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rsidR="008A53BE" w:rsidRPr="008547CC" w:rsidRDefault="00022901" w:rsidP="00843B8B">
            <w:pPr>
              <w:rPr>
                <w:sz w:val="24"/>
                <w:szCs w:val="24"/>
              </w:rPr>
            </w:pPr>
            <w:r>
              <w:rPr>
                <w:sz w:val="24"/>
                <w:szCs w:val="24"/>
              </w:rPr>
              <w:t>Маляров Д.Н.</w:t>
            </w:r>
          </w:p>
        </w:tc>
      </w:tr>
      <w:tr w:rsidR="004260AB" w:rsidRPr="008547CC">
        <w:tc>
          <w:tcPr>
            <w:tcW w:w="709" w:type="dxa"/>
            <w:tcBorders>
              <w:top w:val="single" w:sz="4" w:space="0" w:color="auto"/>
              <w:left w:val="single" w:sz="4" w:space="0" w:color="auto"/>
              <w:bottom w:val="single" w:sz="4" w:space="0" w:color="auto"/>
              <w:right w:val="single" w:sz="4" w:space="0" w:color="auto"/>
            </w:tcBorders>
          </w:tcPr>
          <w:p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trPr>
          <w:trHeight w:val="591"/>
        </w:trPr>
        <w:tc>
          <w:tcPr>
            <w:tcW w:w="709" w:type="dxa"/>
            <w:tcBorders>
              <w:top w:val="single" w:sz="4" w:space="0" w:color="auto"/>
            </w:tcBorders>
          </w:tcPr>
          <w:p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rsidR="00B95469" w:rsidRPr="008547CC" w:rsidRDefault="007D4F8E">
            <w:pPr>
              <w:tabs>
                <w:tab w:val="left" w:pos="1276"/>
              </w:tabs>
              <w:ind w:right="88"/>
              <w:jc w:val="both"/>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rsidR="00B148D2" w:rsidRPr="00956D89" w:rsidRDefault="000E794B" w:rsidP="007E4B10">
            <w:pPr>
              <w:widowControl w:val="0"/>
              <w:autoSpaceDE w:val="0"/>
              <w:autoSpaceDN w:val="0"/>
              <w:adjustRightInd w:val="0"/>
              <w:spacing w:line="276" w:lineRule="auto"/>
              <w:jc w:val="both"/>
              <w:rPr>
                <w:szCs w:val="24"/>
              </w:rPr>
            </w:pPr>
            <w:r w:rsidRPr="000E794B">
              <w:rPr>
                <w:sz w:val="24"/>
                <w:szCs w:val="24"/>
              </w:rPr>
              <w:t>Оказание услуг по технической поддержке и сопровождению ИТ инфраструктуры электронных сервисов в сфере ПОД/ФТ (далее – услуги).</w:t>
            </w:r>
          </w:p>
        </w:tc>
      </w:tr>
      <w:tr w:rsidR="004260AB" w:rsidRPr="008547CC">
        <w:trPr>
          <w:trHeight w:val="601"/>
        </w:trPr>
        <w:tc>
          <w:tcPr>
            <w:tcW w:w="709" w:type="dxa"/>
          </w:tcPr>
          <w:p w:rsidR="00B95469" w:rsidRPr="008547CC" w:rsidRDefault="007D4F8E">
            <w:pPr>
              <w:jc w:val="center"/>
              <w:rPr>
                <w:noProof/>
                <w:sz w:val="24"/>
                <w:szCs w:val="24"/>
              </w:rPr>
            </w:pPr>
            <w:r w:rsidRPr="008547CC">
              <w:rPr>
                <w:noProof/>
                <w:sz w:val="24"/>
                <w:szCs w:val="24"/>
              </w:rPr>
              <w:t>2.2.</w:t>
            </w:r>
          </w:p>
        </w:tc>
        <w:tc>
          <w:tcPr>
            <w:tcW w:w="3686" w:type="dxa"/>
          </w:tcPr>
          <w:p w:rsidR="00B95469" w:rsidRPr="008547CC" w:rsidRDefault="007D4F8E">
            <w:pPr>
              <w:tabs>
                <w:tab w:val="left" w:pos="1276"/>
              </w:tabs>
              <w:ind w:right="88"/>
              <w:jc w:val="both"/>
              <w:rPr>
                <w:noProof/>
                <w:sz w:val="24"/>
                <w:szCs w:val="24"/>
              </w:rPr>
            </w:pPr>
            <w:r w:rsidRPr="008547CC">
              <w:rPr>
                <w:noProof/>
                <w:sz w:val="24"/>
                <w:szCs w:val="24"/>
              </w:rPr>
              <w:t>Описание объекта закупки</w:t>
            </w:r>
          </w:p>
        </w:tc>
        <w:tc>
          <w:tcPr>
            <w:tcW w:w="5919" w:type="dxa"/>
          </w:tcPr>
          <w:p w:rsidR="00B148D2" w:rsidRPr="008547CC" w:rsidRDefault="00815264" w:rsidP="003B4EE8">
            <w:pPr>
              <w:pStyle w:val="ae"/>
              <w:spacing w:before="0" w:after="0"/>
              <w:ind w:firstLine="0"/>
            </w:pPr>
            <w:r w:rsidRPr="008547CC">
              <w:t>Услуги оказываются в соответствии с Техническим заданием</w:t>
            </w:r>
            <w:r w:rsidR="00683C49" w:rsidRPr="008547CC">
              <w:rPr>
                <w:rFonts w:ascii="Times New Roman CYR" w:hAnsi="Times New Roman CYR" w:cs="Times New Roman CYR"/>
                <w:bCs/>
              </w:rPr>
              <w:t xml:space="preserve"> - </w:t>
            </w:r>
            <w:r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 xml:space="preserve">онкурсной документации </w:t>
            </w:r>
            <w:r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Pr="008547CC">
              <w:rPr>
                <w:rFonts w:ascii="Times New Roman CYR" w:hAnsi="Times New Roman CYR" w:cs="Times New Roman CYR"/>
                <w:bCs/>
              </w:rPr>
              <w:t>онкурсной документации).</w:t>
            </w:r>
          </w:p>
        </w:tc>
      </w:tr>
      <w:tr w:rsidR="004260AB" w:rsidRPr="008547CC">
        <w:trPr>
          <w:trHeight w:val="522"/>
        </w:trPr>
        <w:tc>
          <w:tcPr>
            <w:tcW w:w="709" w:type="dxa"/>
          </w:tcPr>
          <w:p w:rsidR="00B95469" w:rsidRPr="008547CC" w:rsidRDefault="007D4F8E">
            <w:pPr>
              <w:jc w:val="center"/>
              <w:rPr>
                <w:noProof/>
                <w:sz w:val="24"/>
                <w:szCs w:val="24"/>
              </w:rPr>
            </w:pPr>
            <w:r w:rsidRPr="008547CC">
              <w:rPr>
                <w:noProof/>
                <w:sz w:val="24"/>
                <w:szCs w:val="24"/>
              </w:rPr>
              <w:t>2.3.</w:t>
            </w:r>
          </w:p>
        </w:tc>
        <w:tc>
          <w:tcPr>
            <w:tcW w:w="3686" w:type="dxa"/>
          </w:tcPr>
          <w:p w:rsidR="00B95469" w:rsidRPr="008547CC" w:rsidRDefault="007D4F8E" w:rsidP="00911E00">
            <w:pPr>
              <w:tabs>
                <w:tab w:val="left" w:pos="1276"/>
              </w:tabs>
              <w:ind w:right="88"/>
              <w:rPr>
                <w:noProof/>
                <w:sz w:val="24"/>
                <w:szCs w:val="24"/>
              </w:rPr>
            </w:pPr>
            <w:r w:rsidRPr="008547CC">
              <w:rPr>
                <w:sz w:val="24"/>
                <w:szCs w:val="24"/>
              </w:rPr>
              <w:t xml:space="preserve">Информация о месте и объеме </w:t>
            </w:r>
            <w:r w:rsidR="00911E00" w:rsidRPr="008547CC">
              <w:rPr>
                <w:sz w:val="24"/>
                <w:szCs w:val="24"/>
              </w:rPr>
              <w:t>оказания услуг (</w:t>
            </w:r>
            <w:r w:rsidR="00113AA4" w:rsidRPr="008547CC">
              <w:rPr>
                <w:sz w:val="24"/>
                <w:szCs w:val="24"/>
              </w:rPr>
              <w:t>закупки товаров</w:t>
            </w:r>
            <w:r w:rsidR="00911E00" w:rsidRPr="008547CC">
              <w:rPr>
                <w:sz w:val="24"/>
                <w:szCs w:val="24"/>
              </w:rPr>
              <w:t xml:space="preserve">, выполнения </w:t>
            </w:r>
            <w:r w:rsidR="00113AA4" w:rsidRPr="008547CC">
              <w:rPr>
                <w:sz w:val="24"/>
                <w:szCs w:val="24"/>
              </w:rPr>
              <w:t>работ)</w:t>
            </w:r>
          </w:p>
        </w:tc>
        <w:tc>
          <w:tcPr>
            <w:tcW w:w="5919" w:type="dxa"/>
          </w:tcPr>
          <w:p w:rsidR="00576A06" w:rsidRPr="008547CC" w:rsidRDefault="00576A06" w:rsidP="00576A06">
            <w:pPr>
              <w:keepNext/>
              <w:suppressAutoHyphens/>
              <w:spacing w:line="228" w:lineRule="auto"/>
              <w:jc w:val="both"/>
              <w:rPr>
                <w:sz w:val="24"/>
                <w:szCs w:val="24"/>
              </w:rPr>
            </w:pPr>
            <w:r w:rsidRPr="008547CC">
              <w:rPr>
                <w:sz w:val="24"/>
                <w:szCs w:val="24"/>
              </w:rPr>
              <w:t xml:space="preserve">Место оказания услуг: </w:t>
            </w:r>
          </w:p>
          <w:p w:rsidR="00956D89" w:rsidRPr="00956D89" w:rsidRDefault="000E794B" w:rsidP="00956D89">
            <w:pPr>
              <w:keepNext/>
              <w:suppressAutoHyphens/>
              <w:spacing w:line="228" w:lineRule="auto"/>
              <w:jc w:val="both"/>
              <w:rPr>
                <w:sz w:val="24"/>
                <w:szCs w:val="24"/>
              </w:rPr>
            </w:pPr>
            <w:r w:rsidRPr="000E794B">
              <w:rPr>
                <w:sz w:val="24"/>
                <w:szCs w:val="24"/>
              </w:rPr>
              <w:t xml:space="preserve">119017, г. Москва, </w:t>
            </w:r>
            <w:proofErr w:type="spellStart"/>
            <w:r w:rsidRPr="000E794B">
              <w:rPr>
                <w:sz w:val="24"/>
                <w:szCs w:val="24"/>
              </w:rPr>
              <w:t>Старомонетный</w:t>
            </w:r>
            <w:proofErr w:type="spellEnd"/>
            <w:r w:rsidRPr="000E794B">
              <w:rPr>
                <w:sz w:val="24"/>
                <w:szCs w:val="24"/>
              </w:rPr>
              <w:t xml:space="preserve"> переулок, д.31 стр.1, помещение 507. Услуги могут быть оказаны удаленно.</w:t>
            </w:r>
          </w:p>
          <w:p w:rsidR="00956D89" w:rsidRPr="00956D89" w:rsidRDefault="00956D89" w:rsidP="00956D89">
            <w:pPr>
              <w:keepNext/>
              <w:suppressAutoHyphens/>
              <w:spacing w:line="228" w:lineRule="auto"/>
              <w:jc w:val="both"/>
              <w:rPr>
                <w:sz w:val="24"/>
                <w:szCs w:val="24"/>
              </w:rPr>
            </w:pPr>
            <w:r w:rsidRPr="00956D89">
              <w:rPr>
                <w:sz w:val="24"/>
                <w:szCs w:val="24"/>
              </w:rPr>
              <w:t>Услуги оказываются в соответствии с условиями, обозначенными в проекте Договора (часть IV конкурсной документации) и в Техническом задании (часть V конкурсной документации).</w:t>
            </w:r>
          </w:p>
          <w:p w:rsidR="00ED6455" w:rsidRPr="008547CC" w:rsidRDefault="00956D89" w:rsidP="00956D89">
            <w:pPr>
              <w:tabs>
                <w:tab w:val="left" w:pos="792"/>
                <w:tab w:val="left" w:pos="993"/>
              </w:tabs>
              <w:jc w:val="both"/>
              <w:rPr>
                <w:sz w:val="24"/>
              </w:rPr>
            </w:pPr>
            <w:r w:rsidRPr="00956D89">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Pr>
                <w:sz w:val="24"/>
                <w:szCs w:val="24"/>
              </w:rPr>
              <w:t>.</w:t>
            </w:r>
          </w:p>
        </w:tc>
      </w:tr>
      <w:tr w:rsidR="004260AB" w:rsidRPr="008547CC" w:rsidTr="007E0DD9">
        <w:trPr>
          <w:trHeight w:val="531"/>
        </w:trPr>
        <w:tc>
          <w:tcPr>
            <w:tcW w:w="709" w:type="dxa"/>
          </w:tcPr>
          <w:p w:rsidR="00B95469" w:rsidRPr="008547CC" w:rsidRDefault="007D4F8E">
            <w:pPr>
              <w:tabs>
                <w:tab w:val="left" w:pos="1276"/>
              </w:tabs>
              <w:jc w:val="center"/>
              <w:rPr>
                <w:noProof/>
                <w:sz w:val="24"/>
                <w:szCs w:val="24"/>
              </w:rPr>
            </w:pPr>
            <w:r w:rsidRPr="008547CC">
              <w:rPr>
                <w:noProof/>
                <w:sz w:val="24"/>
                <w:szCs w:val="24"/>
              </w:rPr>
              <w:t>2.4.</w:t>
            </w:r>
          </w:p>
        </w:tc>
        <w:tc>
          <w:tcPr>
            <w:tcW w:w="3686" w:type="dxa"/>
          </w:tcPr>
          <w:p w:rsidR="00B95469" w:rsidRPr="008547CC" w:rsidRDefault="007D4F8E" w:rsidP="00113AA4">
            <w:pPr>
              <w:tabs>
                <w:tab w:val="left" w:pos="1276"/>
              </w:tabs>
              <w:ind w:right="88"/>
              <w:rPr>
                <w:noProof/>
                <w:sz w:val="24"/>
                <w:szCs w:val="24"/>
              </w:rPr>
            </w:pPr>
            <w:r w:rsidRPr="008547CC">
              <w:rPr>
                <w:noProof/>
                <w:sz w:val="24"/>
                <w:szCs w:val="24"/>
              </w:rPr>
              <w:t xml:space="preserve">Срок </w:t>
            </w:r>
            <w:r w:rsidR="00911E00" w:rsidRPr="008547CC">
              <w:rPr>
                <w:sz w:val="24"/>
                <w:szCs w:val="24"/>
              </w:rPr>
              <w:t>оказания услуг (закупки товаров, выполнения работ)</w:t>
            </w:r>
          </w:p>
        </w:tc>
        <w:tc>
          <w:tcPr>
            <w:tcW w:w="5919" w:type="dxa"/>
          </w:tcPr>
          <w:p w:rsidR="00B95469" w:rsidRPr="008547CC" w:rsidRDefault="000E794B" w:rsidP="00510B62">
            <w:pPr>
              <w:widowControl w:val="0"/>
              <w:ind w:firstLine="34"/>
              <w:jc w:val="both"/>
            </w:pPr>
            <w:r>
              <w:rPr>
                <w:sz w:val="24"/>
                <w:szCs w:val="24"/>
              </w:rPr>
              <w:t>С</w:t>
            </w:r>
            <w:r w:rsidRPr="000E794B">
              <w:rPr>
                <w:sz w:val="24"/>
                <w:szCs w:val="24"/>
              </w:rPr>
              <w:t xml:space="preserve"> 01.01.2025 г. по 31.12.2025 г., включительно</w:t>
            </w:r>
            <w:r>
              <w:rPr>
                <w:sz w:val="24"/>
                <w:szCs w:val="24"/>
              </w:rPr>
              <w:t>.</w:t>
            </w:r>
          </w:p>
        </w:tc>
      </w:tr>
      <w:tr w:rsidR="004260AB" w:rsidRPr="004260AB">
        <w:tc>
          <w:tcPr>
            <w:tcW w:w="709" w:type="dxa"/>
          </w:tcPr>
          <w:p w:rsidR="00B95469" w:rsidRPr="008547CC" w:rsidRDefault="007D4F8E">
            <w:pPr>
              <w:jc w:val="center"/>
              <w:rPr>
                <w:noProof/>
                <w:sz w:val="24"/>
                <w:szCs w:val="24"/>
              </w:rPr>
            </w:pPr>
            <w:r w:rsidRPr="008547CC">
              <w:rPr>
                <w:noProof/>
                <w:sz w:val="24"/>
                <w:szCs w:val="24"/>
              </w:rPr>
              <w:t xml:space="preserve">2.5. </w:t>
            </w:r>
          </w:p>
        </w:tc>
        <w:tc>
          <w:tcPr>
            <w:tcW w:w="3686" w:type="dxa"/>
          </w:tcPr>
          <w:p w:rsidR="00B95469" w:rsidRPr="008547CC" w:rsidRDefault="007D4F8E" w:rsidP="00113AA4">
            <w:pPr>
              <w:tabs>
                <w:tab w:val="left" w:pos="1276"/>
              </w:tabs>
              <w:ind w:right="88"/>
              <w:jc w:val="both"/>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rsidR="000E794B" w:rsidRPr="000E794B" w:rsidRDefault="000E794B" w:rsidP="000E794B">
            <w:pPr>
              <w:tabs>
                <w:tab w:val="left" w:pos="1260"/>
              </w:tabs>
              <w:suppressAutoHyphens/>
              <w:jc w:val="both"/>
              <w:rPr>
                <w:sz w:val="24"/>
                <w:szCs w:val="24"/>
              </w:rPr>
            </w:pPr>
            <w:r w:rsidRPr="000E794B">
              <w:rPr>
                <w:b/>
                <w:sz w:val="24"/>
                <w:szCs w:val="24"/>
              </w:rPr>
              <w:t xml:space="preserve">3 784 294,00 </w:t>
            </w:r>
            <w:r w:rsidRPr="000E794B">
              <w:rPr>
                <w:sz w:val="24"/>
                <w:szCs w:val="24"/>
              </w:rPr>
              <w:t>(Три миллиона семьсот восемьдесят четыре тысячи двести девяносто четыре</w:t>
            </w:r>
            <w:r w:rsidR="00C661AB">
              <w:rPr>
                <w:sz w:val="24"/>
                <w:szCs w:val="24"/>
              </w:rPr>
              <w:t>)</w:t>
            </w:r>
            <w:r w:rsidRPr="000E794B">
              <w:rPr>
                <w:sz w:val="24"/>
                <w:szCs w:val="24"/>
              </w:rPr>
              <w:t xml:space="preserve"> рубля 00 копеек</w:t>
            </w:r>
            <w:bookmarkStart w:id="0" w:name="_GoBack"/>
            <w:bookmarkEnd w:id="0"/>
            <w:r w:rsidRPr="000E794B">
              <w:rPr>
                <w:sz w:val="24"/>
                <w:szCs w:val="24"/>
              </w:rPr>
              <w:t>, включая НДС.</w:t>
            </w:r>
          </w:p>
          <w:p w:rsidR="00B148D2" w:rsidRPr="00956D89" w:rsidRDefault="000E794B" w:rsidP="000E794B">
            <w:pPr>
              <w:pStyle w:val="af6"/>
              <w:jc w:val="both"/>
              <w:rPr>
                <w:szCs w:val="24"/>
                <w:lang w:eastAsia="ar-SA"/>
              </w:rPr>
            </w:pPr>
            <w:r w:rsidRPr="000E794B">
              <w:rPr>
                <w:sz w:val="24"/>
                <w:szCs w:val="24"/>
              </w:rPr>
              <w:t>В цену Договора включены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и других обязательных платежей</w:t>
            </w:r>
            <w:r w:rsidR="00956D89" w:rsidRPr="000E794B">
              <w:rPr>
                <w:sz w:val="24"/>
                <w:szCs w:val="24"/>
              </w:rPr>
              <w:t>.</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pPr>
              <w:tabs>
                <w:tab w:val="left" w:pos="1276"/>
              </w:tabs>
              <w:suppressAutoHyphens/>
              <w:ind w:right="88"/>
              <w:jc w:val="both"/>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lastRenderedPageBreak/>
              <w:t>4</w:t>
            </w:r>
            <w:r w:rsidR="007D4F8E" w:rsidRPr="004260AB">
              <w:rPr>
                <w:sz w:val="24"/>
                <w:szCs w:val="24"/>
              </w:rPr>
              <w:t>.</w:t>
            </w:r>
          </w:p>
        </w:tc>
        <w:tc>
          <w:tcPr>
            <w:tcW w:w="3686" w:type="dxa"/>
          </w:tcPr>
          <w:p w:rsidR="00B95469" w:rsidRPr="004260AB" w:rsidRDefault="007D4F8E">
            <w:pPr>
              <w:ind w:right="88"/>
              <w:contextualSpacing/>
              <w:jc w:val="both"/>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Старомонетный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t>(</w:t>
            </w:r>
            <w:r w:rsidR="000632F7" w:rsidRPr="000632F7">
              <w:rPr>
                <w:b/>
                <w:bCs/>
              </w:rPr>
              <w:t>1</w:t>
            </w:r>
            <w:r w:rsidR="00691553">
              <w:rPr>
                <w:b/>
                <w:bCs/>
              </w:rPr>
              <w:t>2</w:t>
            </w:r>
            <w:r w:rsidR="00F214D9" w:rsidRPr="00FF589C">
              <w:rPr>
                <w:b/>
                <w:bCs/>
              </w:rPr>
              <w:t>.</w:t>
            </w:r>
            <w:r w:rsidR="00046D34">
              <w:rPr>
                <w:b/>
                <w:bCs/>
              </w:rPr>
              <w:t>1</w:t>
            </w:r>
            <w:r w:rsidR="00FC7828">
              <w:rPr>
                <w:b/>
                <w:bCs/>
              </w:rPr>
              <w:t>2</w:t>
            </w:r>
            <w:r w:rsidR="00F214D9" w:rsidRPr="00FF589C">
              <w:rPr>
                <w:b/>
                <w:bCs/>
              </w:rPr>
              <w:t>.2024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F30FCE">
              <w:rPr>
                <w:b/>
                <w:bCs/>
              </w:rPr>
              <w:t>2</w:t>
            </w:r>
            <w:r w:rsidR="000E794B">
              <w:rPr>
                <w:b/>
                <w:bCs/>
              </w:rPr>
              <w:t>7</w:t>
            </w:r>
            <w:r w:rsidR="00F214D9" w:rsidRPr="00FF589C">
              <w:rPr>
                <w:b/>
                <w:bCs/>
              </w:rPr>
              <w:t>.1</w:t>
            </w:r>
            <w:r w:rsidR="00046D34">
              <w:rPr>
                <w:b/>
                <w:bCs/>
              </w:rPr>
              <w:t>2</w:t>
            </w:r>
            <w:r w:rsidR="00F214D9" w:rsidRPr="00FF589C">
              <w:rPr>
                <w:b/>
                <w:bCs/>
              </w:rPr>
              <w:t>.2024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t>5</w:t>
            </w:r>
            <w:r w:rsidR="007D4F8E" w:rsidRPr="00F853A2">
              <w:rPr>
                <w:sz w:val="24"/>
                <w:szCs w:val="24"/>
              </w:rPr>
              <w:t>.</w:t>
            </w:r>
          </w:p>
        </w:tc>
        <w:tc>
          <w:tcPr>
            <w:tcW w:w="3686" w:type="dxa"/>
          </w:tcPr>
          <w:p w:rsidR="00B95469" w:rsidRPr="00F853A2" w:rsidRDefault="007D4F8E">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6.</w:t>
            </w:r>
          </w:p>
        </w:tc>
        <w:tc>
          <w:tcPr>
            <w:tcW w:w="3686" w:type="dxa"/>
          </w:tcPr>
          <w:p w:rsidR="00711F5E" w:rsidRPr="00711F5E" w:rsidRDefault="00711F5E" w:rsidP="00711F5E">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rsidR="001A76A4" w:rsidRPr="001A76A4" w:rsidRDefault="001A76A4" w:rsidP="001C496A">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11F5E" w:rsidRPr="00711F5E" w:rsidRDefault="001A76A4" w:rsidP="001C496A">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7.</w:t>
            </w:r>
          </w:p>
        </w:tc>
        <w:tc>
          <w:tcPr>
            <w:tcW w:w="3686" w:type="dxa"/>
          </w:tcPr>
          <w:p w:rsidR="00711F5E" w:rsidRPr="00711F5E" w:rsidRDefault="00711F5E" w:rsidP="00711F5E">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11F5E" w:rsidRDefault="00A724AE" w:rsidP="001C496A">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D913B8">
            <w:pPr>
              <w:jc w:val="both"/>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D913B8">
            <w:pPr>
              <w:jc w:val="both"/>
              <w:rPr>
                <w:sz w:val="24"/>
                <w:szCs w:val="24"/>
              </w:rPr>
            </w:pPr>
          </w:p>
        </w:tc>
        <w:tc>
          <w:tcPr>
            <w:tcW w:w="5919" w:type="dxa"/>
          </w:tcPr>
          <w:p w:rsidR="00B148D2" w:rsidRPr="004260AB" w:rsidRDefault="00D913B8" w:rsidP="000E794B">
            <w:pPr>
              <w:ind w:left="64"/>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Старомонетный переулок, д. 31 стр. 1, кабинет № 522,    </w:t>
            </w:r>
            <w:r w:rsidR="003B4EE8">
              <w:rPr>
                <w:b/>
                <w:bCs/>
                <w:sz w:val="24"/>
                <w:szCs w:val="24"/>
              </w:rPr>
              <w:t>2</w:t>
            </w:r>
            <w:r w:rsidR="000E794B">
              <w:rPr>
                <w:b/>
                <w:bCs/>
                <w:sz w:val="24"/>
                <w:szCs w:val="24"/>
              </w:rPr>
              <w:t>7</w:t>
            </w:r>
            <w:r w:rsidR="00711F5E" w:rsidRPr="00711F5E">
              <w:rPr>
                <w:b/>
                <w:bCs/>
                <w:sz w:val="24"/>
                <w:szCs w:val="24"/>
              </w:rPr>
              <w:t>.1</w:t>
            </w:r>
            <w:r w:rsidR="00B049BD">
              <w:rPr>
                <w:b/>
                <w:bCs/>
                <w:sz w:val="24"/>
                <w:szCs w:val="24"/>
              </w:rPr>
              <w:t>2</w:t>
            </w:r>
            <w:r w:rsidR="00711F5E" w:rsidRPr="00711F5E">
              <w:rPr>
                <w:b/>
                <w:bCs/>
                <w:sz w:val="24"/>
                <w:szCs w:val="24"/>
              </w:rPr>
              <w:t>.2024 г</w:t>
            </w:r>
            <w:r w:rsidR="00B06157">
              <w:rPr>
                <w:b/>
                <w:bCs/>
                <w:sz w:val="24"/>
                <w:szCs w:val="24"/>
              </w:rPr>
              <w:t>.</w:t>
            </w:r>
            <w:r w:rsidRPr="00293B23">
              <w:rPr>
                <w:bCs/>
              </w:rPr>
              <w:t xml:space="preserve">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lastRenderedPageBreak/>
              <w:t>10</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F302C4">
            <w:pPr>
              <w:jc w:val="both"/>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12.</w:t>
            </w:r>
          </w:p>
        </w:tc>
        <w:tc>
          <w:tcPr>
            <w:tcW w:w="3686" w:type="dxa"/>
          </w:tcPr>
          <w:p w:rsidR="00F302C4" w:rsidRPr="00711F5E" w:rsidRDefault="00F302C4" w:rsidP="00F302C4">
            <w:pPr>
              <w:jc w:val="both"/>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rsidR="00F302C4" w:rsidRPr="00711F5E" w:rsidRDefault="00F302C4" w:rsidP="00F302C4">
            <w:pPr>
              <w:rPr>
                <w:bCs/>
                <w:sz w:val="24"/>
                <w:szCs w:val="24"/>
              </w:rPr>
            </w:pPr>
            <w:r w:rsidRPr="00711F5E">
              <w:rPr>
                <w:sz w:val="24"/>
                <w:szCs w:val="24"/>
              </w:rPr>
              <w:t>Установлено.</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13.</w:t>
            </w:r>
          </w:p>
          <w:p w:rsidR="00F302C4" w:rsidRPr="00711F5E" w:rsidRDefault="00F302C4" w:rsidP="00F302C4">
            <w:pPr>
              <w:rPr>
                <w:sz w:val="24"/>
                <w:szCs w:val="24"/>
              </w:rPr>
            </w:pPr>
          </w:p>
        </w:tc>
        <w:tc>
          <w:tcPr>
            <w:tcW w:w="3686" w:type="dxa"/>
          </w:tcPr>
          <w:p w:rsidR="00F302C4" w:rsidRPr="00711F5E" w:rsidRDefault="00F302C4" w:rsidP="00F302C4">
            <w:pPr>
              <w:jc w:val="both"/>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815264" w:rsidP="00815264">
            <w:pPr>
              <w:autoSpaceDE w:val="0"/>
              <w:autoSpaceDN w:val="0"/>
              <w:adjustRightInd w:val="0"/>
              <w:jc w:val="both"/>
              <w:rPr>
                <w:sz w:val="24"/>
                <w:szCs w:val="24"/>
              </w:rPr>
            </w:pPr>
            <w:r w:rsidRPr="00711F5E">
              <w:rPr>
                <w:sz w:val="24"/>
                <w:szCs w:val="24"/>
              </w:rPr>
              <w:t>Г</w:t>
            </w:r>
            <w:r w:rsidR="00803650" w:rsidRPr="00711F5E">
              <w:rPr>
                <w:sz w:val="24"/>
                <w:szCs w:val="24"/>
              </w:rPr>
              <w:t>енеральн</w:t>
            </w:r>
            <w:r w:rsidRPr="00711F5E">
              <w:rPr>
                <w:sz w:val="24"/>
                <w:szCs w:val="24"/>
              </w:rPr>
              <w:t>ый</w:t>
            </w:r>
            <w:r w:rsidR="00127D3C" w:rsidRPr="00711F5E">
              <w:rPr>
                <w:sz w:val="24"/>
                <w:szCs w:val="24"/>
              </w:rPr>
              <w:t xml:space="preserve"> директор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711F5E" w:rsidP="00911E00">
            <w:pPr>
              <w:autoSpaceDE w:val="0"/>
              <w:autoSpaceDN w:val="0"/>
              <w:adjustRightInd w:val="0"/>
              <w:jc w:val="right"/>
              <w:rPr>
                <w:sz w:val="24"/>
                <w:szCs w:val="24"/>
              </w:rPr>
            </w:pPr>
            <w:r>
              <w:rPr>
                <w:sz w:val="24"/>
                <w:szCs w:val="24"/>
              </w:rPr>
              <w:t>Уваров И.А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C661AB">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2901"/>
    <w:rsid w:val="00027F20"/>
    <w:rsid w:val="0003055C"/>
    <w:rsid w:val="00034109"/>
    <w:rsid w:val="0004062D"/>
    <w:rsid w:val="00042ABB"/>
    <w:rsid w:val="00043E25"/>
    <w:rsid w:val="00046D34"/>
    <w:rsid w:val="000509C9"/>
    <w:rsid w:val="00050F7B"/>
    <w:rsid w:val="000632F7"/>
    <w:rsid w:val="000637AF"/>
    <w:rsid w:val="00064C1A"/>
    <w:rsid w:val="0006627F"/>
    <w:rsid w:val="00074DA7"/>
    <w:rsid w:val="000839BF"/>
    <w:rsid w:val="000A0959"/>
    <w:rsid w:val="000A4BC4"/>
    <w:rsid w:val="000C4341"/>
    <w:rsid w:val="000E0326"/>
    <w:rsid w:val="000E5708"/>
    <w:rsid w:val="000E794B"/>
    <w:rsid w:val="000F55E6"/>
    <w:rsid w:val="0010610F"/>
    <w:rsid w:val="00113AA4"/>
    <w:rsid w:val="00123E16"/>
    <w:rsid w:val="00127D3C"/>
    <w:rsid w:val="00141EF5"/>
    <w:rsid w:val="00142568"/>
    <w:rsid w:val="00144A5E"/>
    <w:rsid w:val="00152ABC"/>
    <w:rsid w:val="00186CF4"/>
    <w:rsid w:val="00193C05"/>
    <w:rsid w:val="001A5AAA"/>
    <w:rsid w:val="001A76A4"/>
    <w:rsid w:val="001C496A"/>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63249"/>
    <w:rsid w:val="005713CB"/>
    <w:rsid w:val="00576A06"/>
    <w:rsid w:val="00576CE9"/>
    <w:rsid w:val="0058675A"/>
    <w:rsid w:val="00590A82"/>
    <w:rsid w:val="00591D9A"/>
    <w:rsid w:val="0059239C"/>
    <w:rsid w:val="0059755F"/>
    <w:rsid w:val="005A2FC7"/>
    <w:rsid w:val="005F4C8B"/>
    <w:rsid w:val="005F5806"/>
    <w:rsid w:val="0060139D"/>
    <w:rsid w:val="00627EE9"/>
    <w:rsid w:val="00642C0B"/>
    <w:rsid w:val="006629E8"/>
    <w:rsid w:val="006750DF"/>
    <w:rsid w:val="00681B8D"/>
    <w:rsid w:val="00683C49"/>
    <w:rsid w:val="00691553"/>
    <w:rsid w:val="006E0164"/>
    <w:rsid w:val="006F0F25"/>
    <w:rsid w:val="007034F7"/>
    <w:rsid w:val="00711F5E"/>
    <w:rsid w:val="0071635F"/>
    <w:rsid w:val="0072565D"/>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E4B10"/>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C177C"/>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56D89"/>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E3DA6"/>
    <w:rsid w:val="00AE6FE9"/>
    <w:rsid w:val="00AF03D7"/>
    <w:rsid w:val="00B00959"/>
    <w:rsid w:val="00B00F56"/>
    <w:rsid w:val="00B0401C"/>
    <w:rsid w:val="00B049BD"/>
    <w:rsid w:val="00B06157"/>
    <w:rsid w:val="00B148D2"/>
    <w:rsid w:val="00B14A21"/>
    <w:rsid w:val="00B23131"/>
    <w:rsid w:val="00B23CEA"/>
    <w:rsid w:val="00B34A24"/>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F4085"/>
    <w:rsid w:val="00C051E6"/>
    <w:rsid w:val="00C124A1"/>
    <w:rsid w:val="00C214A2"/>
    <w:rsid w:val="00C309E6"/>
    <w:rsid w:val="00C30CF0"/>
    <w:rsid w:val="00C3358A"/>
    <w:rsid w:val="00C36D26"/>
    <w:rsid w:val="00C37164"/>
    <w:rsid w:val="00C416C4"/>
    <w:rsid w:val="00C63930"/>
    <w:rsid w:val="00C661AB"/>
    <w:rsid w:val="00C664D2"/>
    <w:rsid w:val="00C7465F"/>
    <w:rsid w:val="00C75FD0"/>
    <w:rsid w:val="00C840E4"/>
    <w:rsid w:val="00C874A3"/>
    <w:rsid w:val="00C92A0D"/>
    <w:rsid w:val="00CA7792"/>
    <w:rsid w:val="00CA7FC4"/>
    <w:rsid w:val="00CC02CF"/>
    <w:rsid w:val="00CC6896"/>
    <w:rsid w:val="00CE5096"/>
    <w:rsid w:val="00CF098D"/>
    <w:rsid w:val="00D01728"/>
    <w:rsid w:val="00D11CF7"/>
    <w:rsid w:val="00D1610E"/>
    <w:rsid w:val="00D27B25"/>
    <w:rsid w:val="00D32CD5"/>
    <w:rsid w:val="00D36DFB"/>
    <w:rsid w:val="00D53FDD"/>
    <w:rsid w:val="00D54A7A"/>
    <w:rsid w:val="00D6346C"/>
    <w:rsid w:val="00D71DF1"/>
    <w:rsid w:val="00D75FF8"/>
    <w:rsid w:val="00D87385"/>
    <w:rsid w:val="00D913B8"/>
    <w:rsid w:val="00D91521"/>
    <w:rsid w:val="00D94803"/>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E345"/>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BCFD-408F-41A2-85A8-13577CE6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24</cp:revision>
  <cp:lastPrinted>2024-12-12T09:04:00Z</cp:lastPrinted>
  <dcterms:created xsi:type="dcterms:W3CDTF">2024-10-17T08:33:00Z</dcterms:created>
  <dcterms:modified xsi:type="dcterms:W3CDTF">2024-12-12T09:04:00Z</dcterms:modified>
</cp:coreProperties>
</file>