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C874A3" w:rsidRDefault="00844B96" w:rsidP="00844B96">
      <w:pPr>
        <w:jc w:val="both"/>
        <w:rPr>
          <w:b/>
          <w:bCs/>
          <w:sz w:val="24"/>
          <w:szCs w:val="24"/>
        </w:rPr>
      </w:pPr>
      <w:r w:rsidRPr="00844B96">
        <w:rPr>
          <w:b/>
          <w:bCs/>
          <w:sz w:val="24"/>
          <w:szCs w:val="24"/>
        </w:rPr>
        <w:t xml:space="preserve">о проведении открытого конкурса на право заключения договора </w:t>
      </w:r>
      <w:bookmarkStart w:id="0" w:name="_GoBack"/>
      <w:bookmarkEnd w:id="0"/>
      <w:r w:rsidR="00C874A3" w:rsidRPr="00C874A3">
        <w:rPr>
          <w:b/>
          <w:bCs/>
          <w:sz w:val="24"/>
          <w:szCs w:val="24"/>
        </w:rPr>
        <w:t>на выполнение работ по развитию системы видеоконференцсвязи МУМЦФМ.</w:t>
      </w:r>
    </w:p>
    <w:p w:rsidR="00844B96" w:rsidRPr="00844B96" w:rsidRDefault="00844B96" w:rsidP="00844B96">
      <w:pPr>
        <w:jc w:val="both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D0172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D01728">
              <w:rPr>
                <w:b/>
                <w:noProof/>
                <w:sz w:val="24"/>
                <w:szCs w:val="24"/>
              </w:rPr>
              <w:t>З</w:t>
            </w:r>
            <w:r w:rsidR="007D4F8E" w:rsidRPr="00D0172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-10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b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283B9B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D01728" w:rsidRDefault="008A53BE" w:rsidP="00B641BB">
            <w:pPr>
              <w:rPr>
                <w:sz w:val="24"/>
                <w:szCs w:val="24"/>
                <w:lang w:val="en-US"/>
              </w:rPr>
            </w:pPr>
            <w:r w:rsidRPr="00D01728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="00B641BB" w:rsidRPr="003F1121">
                <w:rPr>
                  <w:rStyle w:val="af2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C309E6" w:rsidRDefault="00B641BB" w:rsidP="00C309E6">
            <w:pPr>
              <w:rPr>
                <w:sz w:val="24"/>
                <w:szCs w:val="24"/>
                <w:lang w:val="en-US"/>
              </w:rPr>
            </w:pPr>
            <w:r w:rsidRPr="00C051E6">
              <w:rPr>
                <w:sz w:val="24"/>
                <w:szCs w:val="24"/>
              </w:rPr>
              <w:t>+7 495 950-3</w:t>
            </w:r>
            <w:r>
              <w:rPr>
                <w:sz w:val="24"/>
                <w:szCs w:val="24"/>
              </w:rPr>
              <w:t>0</w:t>
            </w:r>
            <w:r w:rsidRPr="00C051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</w:tc>
      </w:tr>
      <w:tr w:rsidR="00D01728" w:rsidRPr="00D0172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C309E6" w:rsidRDefault="00B641BB" w:rsidP="007E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Маляров Д.Н.</w:t>
            </w:r>
          </w:p>
        </w:tc>
      </w:tr>
      <w:tr w:rsidR="00D01728" w:rsidRPr="00D01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D01728" w:rsidRDefault="007D4F8E">
            <w:pPr>
              <w:rPr>
                <w:b/>
                <w:sz w:val="24"/>
                <w:szCs w:val="24"/>
              </w:rPr>
            </w:pPr>
            <w:r w:rsidRPr="00D0172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D01728">
              <w:rPr>
                <w:b/>
                <w:sz w:val="24"/>
                <w:szCs w:val="24"/>
              </w:rPr>
              <w:t>Договора</w:t>
            </w:r>
          </w:p>
        </w:tc>
      </w:tr>
      <w:tr w:rsidR="00D01728" w:rsidRPr="00D01728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D0172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44B96" w:rsidRPr="00186CF4" w:rsidRDefault="00C874A3" w:rsidP="00BC0275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186CF4">
              <w:t>Работы по развитию системы видеоконференцсвязи МУМЦФМ</w:t>
            </w:r>
            <w:r w:rsidRPr="00186CF4">
              <w:rPr>
                <w:szCs w:val="24"/>
              </w:rPr>
              <w:t xml:space="preserve"> </w:t>
            </w:r>
            <w:r w:rsidR="00FA639E" w:rsidRPr="00186CF4">
              <w:rPr>
                <w:szCs w:val="24"/>
              </w:rPr>
              <w:t xml:space="preserve">(далее – </w:t>
            </w:r>
            <w:r w:rsidRPr="00186CF4">
              <w:rPr>
                <w:szCs w:val="24"/>
              </w:rPr>
              <w:t>работы</w:t>
            </w:r>
            <w:r w:rsidR="00FA639E" w:rsidRPr="00186CF4">
              <w:rPr>
                <w:szCs w:val="24"/>
              </w:rPr>
              <w:t>)</w:t>
            </w:r>
            <w:r w:rsidR="00C309E6" w:rsidRPr="00186CF4">
              <w:rPr>
                <w:szCs w:val="24"/>
              </w:rPr>
              <w:t>.</w:t>
            </w:r>
          </w:p>
        </w:tc>
      </w:tr>
      <w:tr w:rsidR="00D01728" w:rsidRPr="00D01728">
        <w:trPr>
          <w:trHeight w:val="601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186CF4" w:rsidRDefault="00CA7FC4" w:rsidP="005F5806">
            <w:pPr>
              <w:pStyle w:val="ae"/>
              <w:spacing w:before="0" w:after="0"/>
              <w:ind w:firstLine="0"/>
            </w:pPr>
            <w:r w:rsidRPr="00186CF4">
              <w:t>Описание объекта закупки, а также условия выполнения р</w:t>
            </w:r>
            <w:r w:rsidR="00C874A3" w:rsidRPr="00186CF4">
              <w:t>абот</w:t>
            </w:r>
            <w:r w:rsidR="00BB4246" w:rsidRPr="00186CF4">
              <w:t xml:space="preserve"> </w:t>
            </w:r>
            <w:proofErr w:type="spellStart"/>
            <w:r w:rsidR="00BB4246" w:rsidRPr="00186CF4">
              <w:t>обозначенны</w:t>
            </w:r>
            <w:proofErr w:type="spellEnd"/>
            <w:r w:rsidR="00BB4246" w:rsidRPr="00186CF4">
              <w:t xml:space="preserve"> в проекте Договора (часть IV конкурсной документации) и в Техническом задании (</w:t>
            </w:r>
            <w:r w:rsidR="00C874A3" w:rsidRPr="00186CF4">
              <w:t>часть V конкурсной документации</w:t>
            </w:r>
            <w:r w:rsidR="00BB4246" w:rsidRPr="00186CF4">
              <w:t>).</w:t>
            </w:r>
          </w:p>
        </w:tc>
      </w:tr>
      <w:tr w:rsidR="00D01728" w:rsidRPr="00D01728">
        <w:trPr>
          <w:trHeight w:val="522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D0172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D01728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ED6455" w:rsidRPr="00CA7FC4" w:rsidRDefault="00404D64" w:rsidP="00404D64">
            <w:pPr>
              <w:tabs>
                <w:tab w:val="left" w:pos="792"/>
                <w:tab w:val="left" w:pos="993"/>
              </w:tabs>
              <w:jc w:val="both"/>
              <w:rPr>
                <w:sz w:val="24"/>
              </w:rPr>
            </w:pPr>
            <w:r w:rsidRPr="00CA7FC4">
              <w:rPr>
                <w:sz w:val="24"/>
              </w:rPr>
              <w:t xml:space="preserve">Работы осуществляются по адресу: г. Москва, </w:t>
            </w:r>
            <w:proofErr w:type="spellStart"/>
            <w:r w:rsidRPr="00CA7FC4">
              <w:rPr>
                <w:sz w:val="24"/>
              </w:rPr>
              <w:t>Старомонетный</w:t>
            </w:r>
            <w:proofErr w:type="spellEnd"/>
            <w:r w:rsidRPr="00CA7FC4">
              <w:rPr>
                <w:sz w:val="24"/>
              </w:rPr>
              <w:t xml:space="preserve"> переулок, д. 31 стр. 1.</w:t>
            </w:r>
            <w:r w:rsidR="00CA7FC4">
              <w:rPr>
                <w:sz w:val="24"/>
              </w:rPr>
              <w:t xml:space="preserve"> </w:t>
            </w:r>
            <w:r w:rsidR="00C874A3" w:rsidRPr="00193C05">
              <w:rPr>
                <w:sz w:val="24"/>
              </w:rPr>
              <w:t>Работы должны быть выполнены в соответствии с условиями</w:t>
            </w:r>
            <w:r w:rsidR="005F5806">
              <w:rPr>
                <w:sz w:val="24"/>
              </w:rPr>
              <w:t xml:space="preserve"> и требованиями</w:t>
            </w:r>
            <w:r w:rsidR="00C874A3" w:rsidRPr="00193C05">
              <w:rPr>
                <w:sz w:val="24"/>
              </w:rPr>
              <w:t>, обозначенными в договоре (часть IV конкурсной документации) и в Техническом задании (часть V конкурсной документации).</w:t>
            </w:r>
          </w:p>
        </w:tc>
      </w:tr>
      <w:tr w:rsidR="00D01728" w:rsidRPr="00D01728" w:rsidTr="007E0DD9">
        <w:trPr>
          <w:trHeight w:val="531"/>
        </w:trPr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D0172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 xml:space="preserve">Срок </w:t>
            </w:r>
            <w:r w:rsidR="00113AA4" w:rsidRPr="00D0172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D0172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2D73C0" w:rsidRDefault="00E1057A" w:rsidP="00193C05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2D73C0">
              <w:rPr>
                <w:szCs w:val="24"/>
              </w:rPr>
              <w:t xml:space="preserve">С </w:t>
            </w:r>
            <w:r w:rsidR="00193C05">
              <w:rPr>
                <w:szCs w:val="24"/>
              </w:rPr>
              <w:t xml:space="preserve">даты заключения Договора </w:t>
            </w:r>
            <w:r w:rsidR="0045018F">
              <w:rPr>
                <w:szCs w:val="24"/>
              </w:rPr>
              <w:t>по</w:t>
            </w:r>
            <w:r w:rsidRPr="002D73C0">
              <w:rPr>
                <w:szCs w:val="24"/>
              </w:rPr>
              <w:t xml:space="preserve"> </w:t>
            </w:r>
            <w:r w:rsidR="00193C05">
              <w:rPr>
                <w:szCs w:val="24"/>
              </w:rPr>
              <w:t>20</w:t>
            </w:r>
            <w:r w:rsidR="0045018F">
              <w:rPr>
                <w:szCs w:val="24"/>
              </w:rPr>
              <w:t>.0</w:t>
            </w:r>
            <w:r w:rsidR="00193C05">
              <w:rPr>
                <w:szCs w:val="24"/>
              </w:rPr>
              <w:t>5</w:t>
            </w:r>
            <w:r w:rsidR="0045018F">
              <w:rPr>
                <w:szCs w:val="24"/>
              </w:rPr>
              <w:t>.2022 г.</w:t>
            </w:r>
            <w:r w:rsidRPr="002D73C0">
              <w:rPr>
                <w:szCs w:val="24"/>
              </w:rPr>
              <w:t>, включительно</w:t>
            </w:r>
            <w:r w:rsidR="00C30CF0" w:rsidRPr="002D73C0">
              <w:rPr>
                <w:szCs w:val="24"/>
                <w:lang w:eastAsia="ar-SA"/>
              </w:rPr>
              <w:t>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D0172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D0172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193C05" w:rsidRPr="00193C05" w:rsidRDefault="00193C05" w:rsidP="00193C05">
            <w:pPr>
              <w:tabs>
                <w:tab w:val="left" w:pos="1260"/>
              </w:tabs>
              <w:suppressAutoHyphens/>
              <w:jc w:val="both"/>
              <w:rPr>
                <w:sz w:val="24"/>
              </w:rPr>
            </w:pPr>
            <w:r w:rsidRPr="00193C05">
              <w:rPr>
                <w:sz w:val="24"/>
              </w:rPr>
              <w:t xml:space="preserve">Начальная (максимальная) цена договора составляет: </w:t>
            </w:r>
            <w:r w:rsidRPr="00283B9B">
              <w:rPr>
                <w:b/>
                <w:sz w:val="24"/>
              </w:rPr>
              <w:t>4 </w:t>
            </w:r>
            <w:r w:rsidR="00C37164" w:rsidRPr="00283B9B">
              <w:rPr>
                <w:b/>
                <w:sz w:val="24"/>
              </w:rPr>
              <w:t>245</w:t>
            </w:r>
            <w:r w:rsidRPr="00283B9B">
              <w:rPr>
                <w:b/>
                <w:sz w:val="24"/>
              </w:rPr>
              <w:t> </w:t>
            </w:r>
            <w:r w:rsidR="00C37164" w:rsidRPr="00283B9B">
              <w:rPr>
                <w:b/>
                <w:sz w:val="24"/>
              </w:rPr>
              <w:t>045</w:t>
            </w:r>
            <w:r w:rsidRPr="00283B9B">
              <w:rPr>
                <w:b/>
                <w:sz w:val="24"/>
              </w:rPr>
              <w:t>,</w:t>
            </w:r>
            <w:r w:rsidR="00C37164" w:rsidRPr="00283B9B">
              <w:rPr>
                <w:b/>
                <w:sz w:val="24"/>
              </w:rPr>
              <w:t>99</w:t>
            </w:r>
            <w:r w:rsidRPr="00283B9B">
              <w:rPr>
                <w:b/>
                <w:sz w:val="24"/>
              </w:rPr>
              <w:t xml:space="preserve"> (Четыре миллиона двести </w:t>
            </w:r>
            <w:r w:rsidR="00C37164" w:rsidRPr="00283B9B">
              <w:rPr>
                <w:b/>
                <w:sz w:val="24"/>
              </w:rPr>
              <w:t>сорок пять тысяч сорок пять</w:t>
            </w:r>
            <w:r w:rsidRPr="00283B9B">
              <w:rPr>
                <w:b/>
                <w:sz w:val="24"/>
              </w:rPr>
              <w:t xml:space="preserve">) рублей </w:t>
            </w:r>
            <w:r w:rsidR="00C37164" w:rsidRPr="00283B9B">
              <w:rPr>
                <w:b/>
                <w:sz w:val="24"/>
              </w:rPr>
              <w:t>99</w:t>
            </w:r>
            <w:r w:rsidRPr="00283B9B">
              <w:rPr>
                <w:b/>
                <w:sz w:val="24"/>
              </w:rPr>
              <w:t xml:space="preserve"> копеек, включая НДС.</w:t>
            </w:r>
          </w:p>
          <w:p w:rsidR="00B95469" w:rsidRPr="00C30CF0" w:rsidRDefault="00193C05" w:rsidP="00193C05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193C05">
              <w:t>Стоимость работ включает в себя все расходы Исполнителя, связанные с выполнением работ, являющихся предметом настоящего Договора, доставку, погрузку, разгрузку, монтаж, пуско-наладку, а также налоги, сборы и другие обязательные платежи.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D0172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D0172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Субсидия </w:t>
            </w:r>
            <w:r w:rsidR="00E9108F" w:rsidRPr="00D01728">
              <w:rPr>
                <w:sz w:val="24"/>
                <w:szCs w:val="24"/>
              </w:rPr>
              <w:t xml:space="preserve">из </w:t>
            </w:r>
            <w:r w:rsidRPr="00D01728">
              <w:rPr>
                <w:sz w:val="24"/>
                <w:szCs w:val="24"/>
              </w:rPr>
              <w:t>Федерального бюджета</w:t>
            </w:r>
          </w:p>
        </w:tc>
      </w:tr>
      <w:tr w:rsidR="00D01728" w:rsidRPr="00D0172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D0172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D0172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D0172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D01728">
              <w:rPr>
                <w:sz w:val="24"/>
                <w:szCs w:val="24"/>
              </w:rPr>
              <w:t>Открытый конкурс.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D0172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D017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D0172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D0172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D01728">
              <w:rPr>
                <w:szCs w:val="24"/>
              </w:rPr>
              <w:t xml:space="preserve">г. Москва, </w:t>
            </w:r>
            <w:proofErr w:type="spellStart"/>
            <w:r w:rsidR="002E1509" w:rsidRPr="00D01728">
              <w:rPr>
                <w:szCs w:val="24"/>
              </w:rPr>
              <w:t>Старомонетный</w:t>
            </w:r>
            <w:proofErr w:type="spellEnd"/>
            <w:r w:rsidR="002E1509" w:rsidRPr="00D01728">
              <w:rPr>
                <w:szCs w:val="24"/>
              </w:rPr>
              <w:t xml:space="preserve"> переулок, д. 31 стр. 1. </w:t>
            </w:r>
            <w:r w:rsidRPr="00D01728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D01728">
              <w:rPr>
                <w:szCs w:val="24"/>
              </w:rPr>
              <w:t>на сайтах</w:t>
            </w:r>
            <w:r w:rsidR="00CC02CF" w:rsidRPr="00D01728">
              <w:rPr>
                <w:szCs w:val="24"/>
              </w:rPr>
              <w:t xml:space="preserve"> </w:t>
            </w:r>
            <w:hyperlink r:id="rId8" w:history="1">
              <w:r w:rsidR="00CC02CF" w:rsidRPr="00D01728">
                <w:rPr>
                  <w:szCs w:val="24"/>
                </w:rPr>
                <w:t>www.i-tenders.ru</w:t>
              </w:r>
            </w:hyperlink>
            <w:r w:rsidR="00CC02CF" w:rsidRPr="00D01728">
              <w:rPr>
                <w:szCs w:val="24"/>
              </w:rPr>
              <w:t xml:space="preserve"> и </w:t>
            </w:r>
            <w:hyperlink r:id="rId9" w:history="1">
              <w:r w:rsidR="00CC02CF" w:rsidRPr="00D01728">
                <w:rPr>
                  <w:szCs w:val="24"/>
                </w:rPr>
                <w:t>www.mumcfm.ru</w:t>
              </w:r>
            </w:hyperlink>
            <w:r w:rsidRPr="00D01728">
              <w:rPr>
                <w:szCs w:val="24"/>
              </w:rPr>
              <w:t xml:space="preserve"> извещения о проведении открытого конкурса</w:t>
            </w:r>
            <w:r w:rsidR="00AD079B" w:rsidRPr="00D01728">
              <w:rPr>
                <w:szCs w:val="24"/>
              </w:rPr>
              <w:t xml:space="preserve"> </w:t>
            </w:r>
            <w:r w:rsidR="00AD079B" w:rsidRPr="0060139D">
              <w:rPr>
                <w:color w:val="0000FF"/>
                <w:szCs w:val="24"/>
              </w:rPr>
              <w:t>(</w:t>
            </w:r>
            <w:r w:rsidR="00A04EA3" w:rsidRPr="0060139D">
              <w:rPr>
                <w:color w:val="0000FF"/>
                <w:szCs w:val="24"/>
              </w:rPr>
              <w:t>0</w:t>
            </w:r>
            <w:r w:rsidR="00193C05">
              <w:rPr>
                <w:color w:val="0000FF"/>
                <w:szCs w:val="24"/>
              </w:rPr>
              <w:t>5</w:t>
            </w:r>
            <w:r w:rsidR="00AD079B" w:rsidRPr="0060139D">
              <w:rPr>
                <w:color w:val="0000FF"/>
                <w:szCs w:val="24"/>
              </w:rPr>
              <w:t>.</w:t>
            </w:r>
            <w:r w:rsidR="00193C05">
              <w:rPr>
                <w:color w:val="0000FF"/>
                <w:szCs w:val="24"/>
              </w:rPr>
              <w:t>03</w:t>
            </w:r>
            <w:r w:rsidR="00AD079B" w:rsidRPr="0060139D">
              <w:rPr>
                <w:color w:val="0000FF"/>
                <w:szCs w:val="24"/>
              </w:rPr>
              <w:t>.202</w:t>
            </w:r>
            <w:r w:rsidR="00193C05">
              <w:rPr>
                <w:color w:val="0000FF"/>
                <w:szCs w:val="24"/>
              </w:rPr>
              <w:t>2</w:t>
            </w:r>
            <w:r w:rsidR="00AD079B" w:rsidRPr="0060139D">
              <w:rPr>
                <w:color w:val="0000FF"/>
                <w:szCs w:val="24"/>
              </w:rPr>
              <w:t>)</w:t>
            </w:r>
            <w:r w:rsidRPr="00FA1EA2">
              <w:rPr>
                <w:color w:val="FF0000"/>
                <w:szCs w:val="24"/>
              </w:rPr>
              <w:t xml:space="preserve"> </w:t>
            </w:r>
            <w:r w:rsidRPr="00897FB7">
              <w:rPr>
                <w:szCs w:val="24"/>
              </w:rPr>
              <w:t>и прекращается</w:t>
            </w:r>
            <w:r w:rsidRPr="00897FB7">
              <w:rPr>
                <w:b/>
                <w:szCs w:val="24"/>
              </w:rPr>
              <w:t xml:space="preserve"> </w:t>
            </w:r>
            <w:r w:rsidR="00CF098D">
              <w:rPr>
                <w:color w:val="0000FF"/>
                <w:szCs w:val="24"/>
              </w:rPr>
              <w:t>2</w:t>
            </w:r>
            <w:r w:rsidR="00193C05">
              <w:rPr>
                <w:color w:val="0000FF"/>
                <w:szCs w:val="24"/>
              </w:rPr>
              <w:t>5</w:t>
            </w:r>
            <w:r w:rsidR="00CF098D">
              <w:rPr>
                <w:color w:val="0000FF"/>
                <w:szCs w:val="24"/>
              </w:rPr>
              <w:t>.</w:t>
            </w:r>
            <w:r w:rsidR="00193C05">
              <w:rPr>
                <w:color w:val="0000FF"/>
                <w:szCs w:val="24"/>
              </w:rPr>
              <w:t>03</w:t>
            </w:r>
            <w:r w:rsidR="00CF098D">
              <w:rPr>
                <w:color w:val="0000FF"/>
                <w:szCs w:val="24"/>
              </w:rPr>
              <w:t>.</w:t>
            </w:r>
            <w:r w:rsidRPr="0060139D">
              <w:rPr>
                <w:color w:val="0000FF"/>
                <w:szCs w:val="24"/>
              </w:rPr>
              <w:t>20</w:t>
            </w:r>
            <w:r w:rsidR="00CC02CF" w:rsidRPr="0060139D">
              <w:rPr>
                <w:color w:val="0000FF"/>
                <w:szCs w:val="24"/>
              </w:rPr>
              <w:t>2</w:t>
            </w:r>
            <w:r w:rsidR="00193C05">
              <w:rPr>
                <w:color w:val="0000FF"/>
                <w:szCs w:val="24"/>
              </w:rPr>
              <w:t>2</w:t>
            </w:r>
            <w:r w:rsidRPr="0060139D">
              <w:rPr>
                <w:color w:val="0000FF"/>
                <w:szCs w:val="24"/>
              </w:rPr>
              <w:t xml:space="preserve"> г.</w:t>
            </w:r>
            <w:r w:rsidR="008674BA" w:rsidRPr="0060139D">
              <w:rPr>
                <w:color w:val="0000FF"/>
                <w:szCs w:val="24"/>
              </w:rPr>
              <w:t xml:space="preserve"> </w:t>
            </w:r>
            <w:r w:rsidRPr="00D01728">
              <w:rPr>
                <w:szCs w:val="24"/>
              </w:rPr>
              <w:t>в 1</w:t>
            </w:r>
            <w:r w:rsidR="00CC02CF" w:rsidRPr="00D01728">
              <w:rPr>
                <w:szCs w:val="24"/>
              </w:rPr>
              <w:t>1</w:t>
            </w:r>
            <w:r w:rsidRPr="00D01728">
              <w:rPr>
                <w:szCs w:val="24"/>
              </w:rPr>
              <w:t xml:space="preserve"> часов </w:t>
            </w:r>
            <w:r w:rsidR="00CF098D">
              <w:rPr>
                <w:szCs w:val="24"/>
              </w:rPr>
              <w:t xml:space="preserve">                </w:t>
            </w:r>
            <w:r w:rsidRPr="00D01728">
              <w:rPr>
                <w:szCs w:val="24"/>
              </w:rPr>
              <w:t xml:space="preserve">00 минут (время московское). </w:t>
            </w:r>
          </w:p>
          <w:p w:rsidR="00B95469" w:rsidRPr="00D0172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D01728">
              <w:rPr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</w:t>
            </w:r>
            <w:r w:rsidRPr="00D01728">
              <w:rPr>
                <w:szCs w:val="24"/>
              </w:rPr>
              <w:lastRenderedPageBreak/>
              <w:t>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lastRenderedPageBreak/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D01728">
              <w:rPr>
                <w:sz w:val="24"/>
                <w:szCs w:val="24"/>
              </w:rPr>
              <w:t xml:space="preserve">пункте 10.1 части </w:t>
            </w:r>
            <w:r w:rsidR="00CC02CF" w:rsidRPr="00D01728">
              <w:rPr>
                <w:sz w:val="24"/>
                <w:szCs w:val="24"/>
                <w:lang w:val="en-US"/>
              </w:rPr>
              <w:t>I</w:t>
            </w:r>
            <w:r w:rsidR="00CC02CF" w:rsidRPr="00D01728">
              <w:rPr>
                <w:sz w:val="24"/>
                <w:szCs w:val="24"/>
              </w:rPr>
              <w:t>.</w:t>
            </w:r>
            <w:r w:rsidR="0079308C" w:rsidRPr="00D01728">
              <w:rPr>
                <w:sz w:val="24"/>
                <w:szCs w:val="24"/>
              </w:rPr>
              <w:t xml:space="preserve"> </w:t>
            </w:r>
            <w:r w:rsidR="00CC02CF" w:rsidRPr="00D01728">
              <w:rPr>
                <w:bCs/>
                <w:sz w:val="24"/>
                <w:szCs w:val="24"/>
              </w:rPr>
              <w:t>О</w:t>
            </w:r>
            <w:r w:rsidR="00CC02CF" w:rsidRPr="00D0172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D0172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D01728">
              <w:rPr>
                <w:sz w:val="24"/>
                <w:szCs w:val="24"/>
              </w:rPr>
              <w:t>подаче</w:t>
            </w:r>
            <w:r w:rsidR="00CC02CF" w:rsidRPr="00D0172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D0172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D0172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D01728" w:rsidRDefault="007D4F8E" w:rsidP="00193C05">
            <w:pPr>
              <w:ind w:left="64"/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897FB7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897FB7">
              <w:rPr>
                <w:sz w:val="24"/>
                <w:szCs w:val="24"/>
              </w:rPr>
              <w:t xml:space="preserve"> переулок,  д. 31 стр. 1</w:t>
            </w:r>
            <w:r w:rsidRPr="00897FB7">
              <w:rPr>
                <w:sz w:val="24"/>
                <w:szCs w:val="24"/>
              </w:rPr>
              <w:t xml:space="preserve">, кабинет № </w:t>
            </w:r>
            <w:r w:rsidR="00E322E5" w:rsidRPr="00897FB7">
              <w:rPr>
                <w:sz w:val="24"/>
                <w:szCs w:val="24"/>
              </w:rPr>
              <w:t>522</w:t>
            </w:r>
            <w:r w:rsidRPr="00897FB7">
              <w:rPr>
                <w:sz w:val="24"/>
                <w:szCs w:val="24"/>
              </w:rPr>
              <w:t xml:space="preserve">,    </w:t>
            </w:r>
            <w:r w:rsidR="0060139D" w:rsidRPr="0060139D">
              <w:rPr>
                <w:color w:val="0000FF"/>
                <w:sz w:val="24"/>
                <w:szCs w:val="24"/>
              </w:rPr>
              <w:t>2</w:t>
            </w:r>
            <w:r w:rsidR="00193C05">
              <w:rPr>
                <w:color w:val="0000FF"/>
                <w:sz w:val="24"/>
                <w:szCs w:val="24"/>
              </w:rPr>
              <w:t>5</w:t>
            </w:r>
            <w:r w:rsidR="00AD079B" w:rsidRPr="0060139D">
              <w:rPr>
                <w:color w:val="0000FF"/>
                <w:sz w:val="24"/>
                <w:szCs w:val="24"/>
              </w:rPr>
              <w:t>.</w:t>
            </w:r>
            <w:r w:rsidR="00193C05">
              <w:rPr>
                <w:color w:val="0000FF"/>
                <w:sz w:val="24"/>
                <w:szCs w:val="24"/>
              </w:rPr>
              <w:t>03</w:t>
            </w:r>
            <w:r w:rsidR="00AD079B" w:rsidRPr="0060139D">
              <w:rPr>
                <w:color w:val="0000FF"/>
                <w:sz w:val="24"/>
                <w:szCs w:val="24"/>
              </w:rPr>
              <w:t>.</w:t>
            </w:r>
            <w:r w:rsidR="00127D3C" w:rsidRPr="0060139D">
              <w:rPr>
                <w:bCs/>
                <w:color w:val="0000FF"/>
                <w:sz w:val="24"/>
                <w:szCs w:val="24"/>
              </w:rPr>
              <w:t>202</w:t>
            </w:r>
            <w:r w:rsidR="00193C05">
              <w:rPr>
                <w:bCs/>
                <w:color w:val="0000FF"/>
                <w:sz w:val="24"/>
                <w:szCs w:val="24"/>
              </w:rPr>
              <w:t>2</w:t>
            </w:r>
            <w:r w:rsidR="00127D3C" w:rsidRPr="0060139D">
              <w:rPr>
                <w:bCs/>
                <w:color w:val="0000FF"/>
                <w:sz w:val="24"/>
                <w:szCs w:val="24"/>
              </w:rPr>
              <w:t xml:space="preserve"> г. </w:t>
            </w:r>
            <w:r w:rsidR="00127D3C" w:rsidRPr="00897FB7">
              <w:rPr>
                <w:bCs/>
                <w:sz w:val="24"/>
                <w:szCs w:val="24"/>
              </w:rPr>
              <w:t xml:space="preserve">в </w:t>
            </w:r>
            <w:r w:rsidR="00127D3C" w:rsidRPr="00897FB7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897FB7">
              <w:rPr>
                <w:sz w:val="24"/>
                <w:szCs w:val="24"/>
              </w:rPr>
              <w:t>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D0172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D0172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D01728" w:rsidRDefault="007D4F8E">
            <w:pPr>
              <w:jc w:val="both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113AA4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142568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142568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8772B8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 М.Ю.</w:t>
            </w:r>
          </w:p>
        </w:tc>
      </w:tr>
    </w:tbl>
    <w:p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A2" w:rsidRDefault="00C214A2">
      <w:r>
        <w:separator/>
      </w:r>
    </w:p>
  </w:endnote>
  <w:endnote w:type="continuationSeparator" w:id="0">
    <w:p w:rsidR="00C214A2" w:rsidRDefault="00C2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A2" w:rsidRDefault="00C214A2">
      <w:r>
        <w:separator/>
      </w:r>
    </w:p>
  </w:footnote>
  <w:footnote w:type="continuationSeparator" w:id="0">
    <w:p w:rsidR="00C214A2" w:rsidRDefault="00C21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32BC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50F7B"/>
    <w:rsid w:val="0006627F"/>
    <w:rsid w:val="00074DA7"/>
    <w:rsid w:val="000839BF"/>
    <w:rsid w:val="000A4BC4"/>
    <w:rsid w:val="000C4341"/>
    <w:rsid w:val="000E0326"/>
    <w:rsid w:val="00113AA4"/>
    <w:rsid w:val="00123E16"/>
    <w:rsid w:val="00127D3C"/>
    <w:rsid w:val="00141EF5"/>
    <w:rsid w:val="00142568"/>
    <w:rsid w:val="00144A5E"/>
    <w:rsid w:val="00152ABC"/>
    <w:rsid w:val="00186CF4"/>
    <w:rsid w:val="00193C05"/>
    <w:rsid w:val="001D35C3"/>
    <w:rsid w:val="001D6DC7"/>
    <w:rsid w:val="001E476A"/>
    <w:rsid w:val="00211CCF"/>
    <w:rsid w:val="002262E6"/>
    <w:rsid w:val="00283B9B"/>
    <w:rsid w:val="002A3276"/>
    <w:rsid w:val="002B02D0"/>
    <w:rsid w:val="002D0B1A"/>
    <w:rsid w:val="002D73C0"/>
    <w:rsid w:val="002E0D01"/>
    <w:rsid w:val="002E1509"/>
    <w:rsid w:val="002F226B"/>
    <w:rsid w:val="003026F9"/>
    <w:rsid w:val="00320D46"/>
    <w:rsid w:val="00323143"/>
    <w:rsid w:val="0034292D"/>
    <w:rsid w:val="00342A92"/>
    <w:rsid w:val="003B173D"/>
    <w:rsid w:val="003B2A2D"/>
    <w:rsid w:val="00404D64"/>
    <w:rsid w:val="00406DBB"/>
    <w:rsid w:val="00446652"/>
    <w:rsid w:val="0045018F"/>
    <w:rsid w:val="00457D2D"/>
    <w:rsid w:val="004D2079"/>
    <w:rsid w:val="004D4E33"/>
    <w:rsid w:val="004F115D"/>
    <w:rsid w:val="004F4D43"/>
    <w:rsid w:val="00502BFD"/>
    <w:rsid w:val="00514968"/>
    <w:rsid w:val="005713CB"/>
    <w:rsid w:val="0058675A"/>
    <w:rsid w:val="00590A82"/>
    <w:rsid w:val="00591D9A"/>
    <w:rsid w:val="0059239C"/>
    <w:rsid w:val="0059755F"/>
    <w:rsid w:val="005F5806"/>
    <w:rsid w:val="0060139D"/>
    <w:rsid w:val="00627EE9"/>
    <w:rsid w:val="00642C0B"/>
    <w:rsid w:val="006629E8"/>
    <w:rsid w:val="007034F7"/>
    <w:rsid w:val="0072565D"/>
    <w:rsid w:val="00757016"/>
    <w:rsid w:val="00764FEF"/>
    <w:rsid w:val="007720E3"/>
    <w:rsid w:val="00772F7E"/>
    <w:rsid w:val="00773DC1"/>
    <w:rsid w:val="0078151D"/>
    <w:rsid w:val="0078333D"/>
    <w:rsid w:val="0079308C"/>
    <w:rsid w:val="007C48AE"/>
    <w:rsid w:val="007D4F8E"/>
    <w:rsid w:val="007E0DD9"/>
    <w:rsid w:val="00811350"/>
    <w:rsid w:val="00830C45"/>
    <w:rsid w:val="00834989"/>
    <w:rsid w:val="00844B96"/>
    <w:rsid w:val="00851AEB"/>
    <w:rsid w:val="00866D04"/>
    <w:rsid w:val="008674BA"/>
    <w:rsid w:val="008772B8"/>
    <w:rsid w:val="008832BC"/>
    <w:rsid w:val="00897FB7"/>
    <w:rsid w:val="008A0388"/>
    <w:rsid w:val="008A3425"/>
    <w:rsid w:val="008A53BE"/>
    <w:rsid w:val="008B4592"/>
    <w:rsid w:val="008E6A46"/>
    <w:rsid w:val="008E701B"/>
    <w:rsid w:val="008F2120"/>
    <w:rsid w:val="008F23FB"/>
    <w:rsid w:val="008F3935"/>
    <w:rsid w:val="00926754"/>
    <w:rsid w:val="009409BA"/>
    <w:rsid w:val="00945059"/>
    <w:rsid w:val="00984CF5"/>
    <w:rsid w:val="00A01B81"/>
    <w:rsid w:val="00A04EA3"/>
    <w:rsid w:val="00A14029"/>
    <w:rsid w:val="00A25919"/>
    <w:rsid w:val="00A35452"/>
    <w:rsid w:val="00A51905"/>
    <w:rsid w:val="00A620F9"/>
    <w:rsid w:val="00A7744B"/>
    <w:rsid w:val="00AA6251"/>
    <w:rsid w:val="00AB2B6E"/>
    <w:rsid w:val="00AB7910"/>
    <w:rsid w:val="00AD079B"/>
    <w:rsid w:val="00AF03D7"/>
    <w:rsid w:val="00B00F56"/>
    <w:rsid w:val="00B0401C"/>
    <w:rsid w:val="00B14A21"/>
    <w:rsid w:val="00B23CEA"/>
    <w:rsid w:val="00B34A24"/>
    <w:rsid w:val="00B37CCF"/>
    <w:rsid w:val="00B553FD"/>
    <w:rsid w:val="00B641BB"/>
    <w:rsid w:val="00B818F8"/>
    <w:rsid w:val="00B839E7"/>
    <w:rsid w:val="00B95469"/>
    <w:rsid w:val="00B95CCC"/>
    <w:rsid w:val="00BB4246"/>
    <w:rsid w:val="00BC0275"/>
    <w:rsid w:val="00BF4085"/>
    <w:rsid w:val="00C051E6"/>
    <w:rsid w:val="00C124A1"/>
    <w:rsid w:val="00C214A2"/>
    <w:rsid w:val="00C309E6"/>
    <w:rsid w:val="00C30CF0"/>
    <w:rsid w:val="00C37164"/>
    <w:rsid w:val="00C416C4"/>
    <w:rsid w:val="00C7465F"/>
    <w:rsid w:val="00C75FD0"/>
    <w:rsid w:val="00C840E4"/>
    <w:rsid w:val="00C874A3"/>
    <w:rsid w:val="00C92A0D"/>
    <w:rsid w:val="00CA7792"/>
    <w:rsid w:val="00CA7FC4"/>
    <w:rsid w:val="00CC02CF"/>
    <w:rsid w:val="00CC6896"/>
    <w:rsid w:val="00CF098D"/>
    <w:rsid w:val="00D01728"/>
    <w:rsid w:val="00D11CF7"/>
    <w:rsid w:val="00D1610E"/>
    <w:rsid w:val="00D27B25"/>
    <w:rsid w:val="00D53FDD"/>
    <w:rsid w:val="00D6346C"/>
    <w:rsid w:val="00D71DF1"/>
    <w:rsid w:val="00D87385"/>
    <w:rsid w:val="00D91521"/>
    <w:rsid w:val="00D94803"/>
    <w:rsid w:val="00DA5236"/>
    <w:rsid w:val="00DB06AF"/>
    <w:rsid w:val="00DB30D9"/>
    <w:rsid w:val="00DB35E8"/>
    <w:rsid w:val="00DD4C83"/>
    <w:rsid w:val="00E1057A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B7EF8"/>
    <w:rsid w:val="00EC73DD"/>
    <w:rsid w:val="00ED6455"/>
    <w:rsid w:val="00EF25C1"/>
    <w:rsid w:val="00F576E0"/>
    <w:rsid w:val="00F77F73"/>
    <w:rsid w:val="00FA1EA2"/>
    <w:rsid w:val="00FA639E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54</cp:revision>
  <cp:lastPrinted>2022-03-28T06:56:00Z</cp:lastPrinted>
  <dcterms:created xsi:type="dcterms:W3CDTF">2020-07-28T13:45:00Z</dcterms:created>
  <dcterms:modified xsi:type="dcterms:W3CDTF">2022-03-28T06:58:00Z</dcterms:modified>
</cp:coreProperties>
</file>